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济钢城服公司房屋网上公开竞租公告</w:t>
      </w: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山东济钢城市服务</w:t>
      </w:r>
      <w:r>
        <w:rPr>
          <w:rFonts w:ascii="仿宋_GB2312" w:hAnsi="仿宋" w:eastAsia="仿宋_GB2312"/>
          <w:sz w:val="32"/>
          <w:szCs w:val="32"/>
        </w:rPr>
        <w:t>有限公司</w:t>
      </w:r>
      <w:r>
        <w:rPr>
          <w:rFonts w:hint="eastAsia" w:ascii="仿宋_GB2312" w:hAnsi="仿宋" w:eastAsia="仿宋_GB2312"/>
          <w:sz w:val="32"/>
          <w:szCs w:val="32"/>
        </w:rPr>
        <w:t>对</w:t>
      </w:r>
      <w:r>
        <w:rPr>
          <w:rFonts w:hint="eastAsia" w:ascii="仿宋_GB2312" w:eastAsia="仿宋_GB2312"/>
          <w:sz w:val="32"/>
          <w:szCs w:val="32"/>
        </w:rPr>
        <w:t>代管房屋</w:t>
      </w:r>
      <w:r>
        <w:rPr>
          <w:rFonts w:hint="eastAsia" w:ascii="仿宋_GB2312" w:hAnsi="仿宋" w:eastAsia="仿宋_GB2312"/>
          <w:sz w:val="32"/>
          <w:szCs w:val="32"/>
        </w:rPr>
        <w:t>进行网上公开竞租，现将有关事项公告如下：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一、招租房屋基本情况</w:t>
      </w:r>
    </w:p>
    <w:tbl>
      <w:tblPr>
        <w:tblStyle w:val="6"/>
        <w:tblW w:w="8404" w:type="dxa"/>
        <w:jc w:val="center"/>
        <w:tblLayout w:type="fixed"/>
        <w:tblCellMar>
          <w:top w:w="0" w:type="dxa"/>
          <w:left w:w="108" w:type="dxa"/>
          <w:bottom w:w="0" w:type="dxa"/>
          <w:right w:w="108" w:type="dxa"/>
        </w:tblCellMar>
      </w:tblPr>
      <w:tblGrid>
        <w:gridCol w:w="1198"/>
        <w:gridCol w:w="850"/>
        <w:gridCol w:w="1560"/>
        <w:gridCol w:w="850"/>
        <w:gridCol w:w="851"/>
        <w:gridCol w:w="1134"/>
        <w:gridCol w:w="986"/>
        <w:gridCol w:w="975"/>
      </w:tblGrid>
      <w:tr>
        <w:tblPrEx>
          <w:tblCellMar>
            <w:top w:w="0" w:type="dxa"/>
            <w:left w:w="108" w:type="dxa"/>
            <w:bottom w:w="0" w:type="dxa"/>
            <w:right w:w="108" w:type="dxa"/>
          </w:tblCellMar>
        </w:tblPrEx>
        <w:trPr>
          <w:trHeight w:val="1212" w:hRule="exact"/>
          <w:jc w:val="center"/>
        </w:trPr>
        <w:tc>
          <w:tcPr>
            <w:tcW w:w="119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所属</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公司</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具体</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位置</w:t>
            </w:r>
          </w:p>
        </w:tc>
        <w:tc>
          <w:tcPr>
            <w:tcW w:w="1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房屋建筑物名称</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场地面积（㎡）</w:t>
            </w:r>
          </w:p>
        </w:tc>
        <w:tc>
          <w:tcPr>
            <w:tcW w:w="8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租赁期限</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(年)</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租赁费底价</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ascii="仿宋_GB2312" w:hAnsi="仿宋_GB2312" w:eastAsia="仿宋_GB2312" w:cs="仿宋_GB2312"/>
                <w:b/>
                <w:bCs/>
                <w:sz w:val="24"/>
                <w:szCs w:val="24"/>
              </w:rPr>
              <w:t>元</w:t>
            </w:r>
            <w:r>
              <w:rPr>
                <w:rFonts w:hint="eastAsia" w:ascii="仿宋_GB2312" w:hAnsi="仿宋_GB2312" w:eastAsia="仿宋_GB2312" w:cs="仿宋_GB2312"/>
                <w:b/>
                <w:bCs/>
                <w:sz w:val="24"/>
                <w:szCs w:val="24"/>
              </w:rPr>
              <w:t>/首年</w:t>
            </w:r>
            <w:r>
              <w:rPr>
                <w:rFonts w:ascii="仿宋_GB2312" w:hAnsi="仿宋_GB2312" w:eastAsia="仿宋_GB2312" w:cs="仿宋_GB2312"/>
                <w:b/>
                <w:bCs/>
                <w:sz w:val="24"/>
                <w:szCs w:val="24"/>
              </w:rPr>
              <w:t>）</w:t>
            </w:r>
          </w:p>
        </w:tc>
        <w:tc>
          <w:tcPr>
            <w:tcW w:w="9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阶梯价</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(元)</w:t>
            </w:r>
          </w:p>
        </w:tc>
        <w:tc>
          <w:tcPr>
            <w:tcW w:w="97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竟租保证金</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ascii="仿宋_GB2312" w:hAnsi="仿宋_GB2312" w:eastAsia="仿宋_GB2312" w:cs="仿宋_GB2312"/>
                <w:b/>
                <w:bCs/>
                <w:sz w:val="24"/>
                <w:szCs w:val="24"/>
              </w:rPr>
              <w:t>元）</w:t>
            </w:r>
          </w:p>
        </w:tc>
      </w:tr>
      <w:tr>
        <w:tblPrEx>
          <w:tblCellMar>
            <w:top w:w="0" w:type="dxa"/>
            <w:left w:w="108" w:type="dxa"/>
            <w:bottom w:w="0" w:type="dxa"/>
            <w:right w:w="108" w:type="dxa"/>
          </w:tblCellMar>
        </w:tblPrEx>
        <w:trPr>
          <w:trHeight w:val="975" w:hRule="atLeast"/>
          <w:jc w:val="center"/>
        </w:trPr>
        <w:tc>
          <w:tcPr>
            <w:tcW w:w="1198" w:type="dxa"/>
            <w:tcBorders>
              <w:top w:val="single" w:color="2B2B2B" w:sz="4" w:space="0"/>
              <w:left w:val="single" w:color="2B2B2B" w:sz="4" w:space="0"/>
              <w:bottom w:val="single" w:color="2B2B2B" w:sz="4" w:space="0"/>
              <w:right w:val="single" w:color="2B2B2B" w:sz="4" w:space="0"/>
            </w:tcBorders>
            <w:noWrap/>
            <w:vAlign w:val="center"/>
          </w:tcPr>
          <w:p>
            <w:pPr>
              <w:jc w:val="center"/>
            </w:pPr>
            <w:r>
              <w:rPr>
                <w:rFonts w:hint="eastAsia"/>
              </w:rPr>
              <w:t>济钢集团有限公司</w:t>
            </w:r>
          </w:p>
        </w:tc>
        <w:tc>
          <w:tcPr>
            <w:tcW w:w="850" w:type="dxa"/>
            <w:tcBorders>
              <w:top w:val="single" w:color="2B2B2B" w:sz="4" w:space="0"/>
              <w:left w:val="single" w:color="2B2B2B" w:sz="4" w:space="0"/>
              <w:bottom w:val="single" w:color="2B2B2B" w:sz="4" w:space="0"/>
              <w:right w:val="single" w:color="2B2B2B" w:sz="4" w:space="0"/>
            </w:tcBorders>
            <w:noWrap/>
            <w:vAlign w:val="center"/>
          </w:tcPr>
          <w:p>
            <w:pPr>
              <w:jc w:val="center"/>
            </w:pPr>
            <w:r>
              <w:rPr>
                <w:rFonts w:hint="eastAsia"/>
              </w:rPr>
              <w:t>济钢</w:t>
            </w:r>
          </w:p>
          <w:p>
            <w:pPr>
              <w:jc w:val="center"/>
            </w:pPr>
            <w:r>
              <w:rPr>
                <w:rFonts w:hint="eastAsia"/>
              </w:rPr>
              <w:t>新村</w:t>
            </w:r>
          </w:p>
        </w:tc>
        <w:tc>
          <w:tcPr>
            <w:tcW w:w="1560" w:type="dxa"/>
            <w:tcBorders>
              <w:top w:val="single" w:color="2B2B2B" w:sz="4" w:space="0"/>
              <w:left w:val="single" w:color="2B2B2B" w:sz="4" w:space="0"/>
              <w:bottom w:val="single" w:color="2B2B2B" w:sz="4" w:space="0"/>
              <w:right w:val="single" w:color="2B2B2B" w:sz="4" w:space="0"/>
            </w:tcBorders>
            <w:noWrap/>
            <w:vAlign w:val="center"/>
          </w:tcPr>
          <w:p>
            <w:pPr>
              <w:jc w:val="left"/>
            </w:pPr>
            <w:r>
              <w:rPr>
                <w:rFonts w:hint="eastAsia"/>
              </w:rPr>
              <w:t>3号换热站北</w:t>
            </w:r>
            <w:r>
              <w:t>侧院落</w:t>
            </w:r>
          </w:p>
        </w:tc>
        <w:tc>
          <w:tcPr>
            <w:tcW w:w="850" w:type="dxa"/>
            <w:tcBorders>
              <w:top w:val="single" w:color="2B2B2B" w:sz="4" w:space="0"/>
              <w:left w:val="single" w:color="2B2B2B" w:sz="4" w:space="0"/>
              <w:bottom w:val="single" w:color="2B2B2B" w:sz="4" w:space="0"/>
              <w:right w:val="single" w:color="2B2B2B" w:sz="4" w:space="0"/>
            </w:tcBorders>
            <w:noWrap/>
            <w:vAlign w:val="center"/>
          </w:tcPr>
          <w:p>
            <w:pPr>
              <w:jc w:val="center"/>
            </w:pPr>
            <w:r>
              <w:rPr>
                <w:rFonts w:hint="eastAsia"/>
              </w:rPr>
              <w:t>19</w:t>
            </w:r>
            <w:r>
              <w:t>8</w:t>
            </w:r>
          </w:p>
        </w:tc>
        <w:tc>
          <w:tcPr>
            <w:tcW w:w="851" w:type="dxa"/>
            <w:tcBorders>
              <w:top w:val="single" w:color="2B2B2B" w:sz="4" w:space="0"/>
              <w:left w:val="single" w:color="2B2B2B" w:sz="4" w:space="0"/>
              <w:bottom w:val="single" w:color="2B2B2B" w:sz="4" w:space="0"/>
              <w:right w:val="single" w:color="2B2B2B" w:sz="4" w:space="0"/>
            </w:tcBorders>
            <w:noWrap/>
            <w:vAlign w:val="center"/>
          </w:tcPr>
          <w:p>
            <w:pPr>
              <w:jc w:val="center"/>
            </w:pPr>
            <w:r>
              <w:t>1-</w:t>
            </w:r>
            <w:r>
              <w:rPr>
                <w:rFonts w:hint="eastAsia"/>
              </w:rPr>
              <w:t>5</w:t>
            </w:r>
          </w:p>
        </w:tc>
        <w:tc>
          <w:tcPr>
            <w:tcW w:w="1134" w:type="dxa"/>
            <w:tcBorders>
              <w:top w:val="single" w:color="2B2B2B" w:sz="4" w:space="0"/>
              <w:left w:val="single" w:color="2B2B2B" w:sz="4" w:space="0"/>
              <w:bottom w:val="single" w:color="2B2B2B" w:sz="4" w:space="0"/>
              <w:right w:val="single" w:color="2B2B2B" w:sz="4" w:space="0"/>
            </w:tcBorders>
            <w:noWrap/>
            <w:vAlign w:val="center"/>
          </w:tcPr>
          <w:p>
            <w:pPr>
              <w:jc w:val="center"/>
            </w:pPr>
            <w:r>
              <w:t>18</w:t>
            </w:r>
            <w:r>
              <w:rPr>
                <w:rFonts w:hint="eastAsia"/>
              </w:rPr>
              <w:t>000</w:t>
            </w:r>
          </w:p>
        </w:tc>
        <w:tc>
          <w:tcPr>
            <w:tcW w:w="986" w:type="dxa"/>
            <w:tcBorders>
              <w:top w:val="single" w:color="2B2B2B" w:sz="4" w:space="0"/>
              <w:left w:val="single" w:color="2B2B2B" w:sz="4" w:space="0"/>
              <w:bottom w:val="single" w:color="2B2B2B" w:sz="4" w:space="0"/>
              <w:right w:val="single" w:color="2B2B2B" w:sz="4" w:space="0"/>
            </w:tcBorders>
            <w:noWrap/>
            <w:vAlign w:val="center"/>
          </w:tcPr>
          <w:p>
            <w:pPr>
              <w:jc w:val="center"/>
            </w:pPr>
            <w:r>
              <w:t>10</w:t>
            </w:r>
            <w:r>
              <w:rPr>
                <w:rFonts w:hint="eastAsia"/>
              </w:rPr>
              <w:t>00元</w:t>
            </w:r>
          </w:p>
        </w:tc>
        <w:tc>
          <w:tcPr>
            <w:tcW w:w="975" w:type="dxa"/>
            <w:tcBorders>
              <w:top w:val="single" w:color="2B2B2B" w:sz="4" w:space="0"/>
              <w:left w:val="single" w:color="2B2B2B" w:sz="4" w:space="0"/>
              <w:bottom w:val="single" w:color="2B2B2B" w:sz="4" w:space="0"/>
              <w:right w:val="single" w:color="2B2B2B" w:sz="4" w:space="0"/>
            </w:tcBorders>
            <w:noWrap/>
            <w:vAlign w:val="center"/>
          </w:tcPr>
          <w:p>
            <w:pPr>
              <w:jc w:val="center"/>
            </w:pPr>
            <w:r>
              <w:t>20</w:t>
            </w:r>
            <w:r>
              <w:rPr>
                <w:rFonts w:hint="eastAsia"/>
              </w:rPr>
              <w:t>00元</w:t>
            </w:r>
          </w:p>
        </w:tc>
      </w:tr>
    </w:tbl>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二、租赁期限</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竞租人的最终摘牌价为租赁</w:t>
      </w:r>
      <w:r>
        <w:rPr>
          <w:rFonts w:ascii="仿宋_GB2312" w:hAnsi="仿宋" w:eastAsia="仿宋_GB2312"/>
          <w:sz w:val="32"/>
          <w:szCs w:val="32"/>
        </w:rPr>
        <w:t>期限</w:t>
      </w:r>
      <w:r>
        <w:rPr>
          <w:rFonts w:hint="eastAsia" w:ascii="仿宋_GB2312" w:hAnsi="仿宋" w:eastAsia="仿宋_GB2312"/>
          <w:sz w:val="32"/>
          <w:szCs w:val="32"/>
        </w:rPr>
        <w:t>内首</w:t>
      </w:r>
      <w:r>
        <w:rPr>
          <w:rFonts w:ascii="仿宋_GB2312" w:hAnsi="仿宋" w:eastAsia="仿宋_GB2312"/>
          <w:sz w:val="32"/>
          <w:szCs w:val="32"/>
        </w:rPr>
        <w:t>年</w:t>
      </w:r>
      <w:r>
        <w:rPr>
          <w:rFonts w:hint="eastAsia" w:ascii="仿宋_GB2312" w:hAnsi="仿宋" w:eastAsia="仿宋_GB2312"/>
          <w:sz w:val="32"/>
          <w:szCs w:val="32"/>
        </w:rPr>
        <w:t>租赁费（含税，税率9%），</w:t>
      </w:r>
      <w:r>
        <w:rPr>
          <w:rFonts w:ascii="仿宋_GB2312" w:hAnsi="仿宋" w:eastAsia="仿宋_GB2312"/>
          <w:sz w:val="32"/>
          <w:szCs w:val="32"/>
        </w:rPr>
        <w:t>可签</w:t>
      </w:r>
      <w:r>
        <w:rPr>
          <w:rFonts w:hint="eastAsia" w:ascii="仿宋_GB2312" w:hAnsi="仿宋" w:eastAsia="仿宋_GB2312"/>
          <w:sz w:val="32"/>
          <w:szCs w:val="32"/>
        </w:rPr>
        <w:t>1</w:t>
      </w:r>
      <w:r>
        <w:rPr>
          <w:rFonts w:ascii="仿宋_GB2312" w:hAnsi="仿宋" w:eastAsia="仿宋_GB2312"/>
          <w:sz w:val="32"/>
          <w:szCs w:val="32"/>
        </w:rPr>
        <w:t>-5</w:t>
      </w:r>
      <w:r>
        <w:rPr>
          <w:rFonts w:hint="eastAsia" w:ascii="仿宋_GB2312" w:hAnsi="仿宋" w:eastAsia="仿宋_GB2312"/>
          <w:sz w:val="32"/>
          <w:szCs w:val="32"/>
        </w:rPr>
        <w:t>年，次</w:t>
      </w:r>
      <w:r>
        <w:rPr>
          <w:rFonts w:ascii="仿宋_GB2312" w:hAnsi="仿宋" w:eastAsia="仿宋_GB2312"/>
          <w:sz w:val="32"/>
          <w:szCs w:val="32"/>
        </w:rPr>
        <w:t>年起</w:t>
      </w:r>
      <w:r>
        <w:rPr>
          <w:rFonts w:hint="eastAsia" w:ascii="仿宋_GB2312" w:hAnsi="仿宋" w:eastAsia="仿宋_GB2312"/>
          <w:sz w:val="32"/>
          <w:szCs w:val="32"/>
        </w:rPr>
        <w:t>租赁</w:t>
      </w:r>
      <w:r>
        <w:rPr>
          <w:rFonts w:ascii="仿宋_GB2312" w:hAnsi="仿宋" w:eastAsia="仿宋_GB2312"/>
          <w:sz w:val="32"/>
          <w:szCs w:val="32"/>
        </w:rPr>
        <w:t>费</w:t>
      </w:r>
      <w:r>
        <w:rPr>
          <w:rFonts w:hint="eastAsia" w:ascii="仿宋_GB2312" w:hAnsi="仿宋" w:eastAsia="仿宋_GB2312"/>
          <w:sz w:val="32"/>
          <w:szCs w:val="32"/>
        </w:rPr>
        <w:t>每</w:t>
      </w:r>
      <w:r>
        <w:rPr>
          <w:rFonts w:ascii="仿宋_GB2312" w:hAnsi="仿宋" w:eastAsia="仿宋_GB2312"/>
          <w:sz w:val="32"/>
          <w:szCs w:val="32"/>
        </w:rPr>
        <w:t>年递增</w:t>
      </w:r>
      <w:r>
        <w:rPr>
          <w:rFonts w:hint="eastAsia" w:ascii="仿宋_GB2312" w:hAnsi="仿宋" w:eastAsia="仿宋_GB2312"/>
          <w:sz w:val="32"/>
          <w:szCs w:val="32"/>
        </w:rPr>
        <w:t>3</w:t>
      </w:r>
      <w:r>
        <w:rPr>
          <w:rFonts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三、出租用途</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商业经营等）使用（不得从事危化品的经营及违法违规经营行为；不得仓储有毒、有害、易燃物品及国家规定的违禁品；不得从事带来噪声、气味、粉尘及土地污染等环境污染的经营行为；不得在出租建筑物住宿或作为宿舍使用，不能使用煤气罐及轻质燃油、白油等济钢集团禁止使用的危险品）。</w:t>
      </w:r>
    </w:p>
    <w:p>
      <w:pPr>
        <w:pStyle w:val="5"/>
        <w:spacing w:line="580" w:lineRule="exact"/>
        <w:ind w:firstLine="640"/>
        <w:rPr>
          <w:sz w:val="32"/>
          <w:szCs w:val="32"/>
        </w:rPr>
      </w:pPr>
      <w:r>
        <w:rPr>
          <w:rFonts w:hint="eastAsia"/>
          <w:sz w:val="32"/>
          <w:szCs w:val="32"/>
        </w:rPr>
        <w:t>租赁方负责租赁资产主体结构维修及屋面防水，承租方承担租赁期限内的水费、电费、消防设施维护维修费用、租赁物及配属设施设备维护维修费用；电费价格执行承租区域市场化电价（包含相应比例的变压器损耗、维保费及管理费），水费价格执行市场化水价。承租方水、电消耗量，以出租方设置的水、电表为唯一计量依据，每月结算一次，并于次月20日前支付相应费用。</w:t>
      </w:r>
    </w:p>
    <w:p>
      <w:pPr>
        <w:pStyle w:val="5"/>
        <w:spacing w:line="580" w:lineRule="exact"/>
        <w:ind w:firstLine="640"/>
        <w:rPr>
          <w:rFonts w:ascii="黑体" w:hAnsi="黑体" w:eastAsia="黑体"/>
          <w:sz w:val="32"/>
          <w:szCs w:val="32"/>
        </w:rPr>
      </w:pPr>
      <w:r>
        <w:rPr>
          <w:rFonts w:hint="eastAsia" w:ascii="黑体" w:hAnsi="黑体" w:eastAsia="黑体"/>
          <w:sz w:val="32"/>
          <w:szCs w:val="32"/>
        </w:rPr>
        <w:t>四、竞租条件</w:t>
      </w:r>
    </w:p>
    <w:p>
      <w:pPr>
        <w:spacing w:line="580" w:lineRule="exact"/>
        <w:ind w:firstLine="643"/>
        <w:rPr>
          <w:rFonts w:ascii="仿宋_GB2312" w:hAnsi="仿宋" w:eastAsia="仿宋_GB2312"/>
          <w:sz w:val="32"/>
          <w:szCs w:val="32"/>
        </w:rPr>
      </w:pPr>
      <w:r>
        <w:rPr>
          <w:rFonts w:hint="eastAsia" w:ascii="仿宋_GB2312" w:hAnsi="仿宋" w:eastAsia="仿宋_GB2312"/>
          <w:sz w:val="32"/>
          <w:szCs w:val="32"/>
        </w:rPr>
        <w:t>1.</w:t>
      </w:r>
      <w:r>
        <w:rPr>
          <w:rFonts w:hint="eastAsia"/>
        </w:rPr>
        <w:t xml:space="preserve"> </w:t>
      </w:r>
      <w:r>
        <w:rPr>
          <w:rFonts w:hint="eastAsia" w:ascii="仿宋_GB2312" w:hAnsi="仿宋" w:eastAsia="仿宋_GB2312"/>
          <w:sz w:val="32"/>
          <w:szCs w:val="32"/>
        </w:rPr>
        <w:t>承租方为注册公司的应提供合法资信及最近三年的财务报表等，具备足额支付整年度租赁费用的能力；竞价过程中，竞租人必须严格遵守竟租平台网络竞价规则。</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w:t>
      </w:r>
      <w:r>
        <w:rPr>
          <w:rFonts w:ascii="仿宋_GB2312" w:hAnsi="仿宋" w:eastAsia="仿宋_GB2312"/>
          <w:sz w:val="32"/>
          <w:szCs w:val="32"/>
        </w:rPr>
        <w:t>.</w:t>
      </w:r>
      <w:r>
        <w:rPr>
          <w:rFonts w:hint="eastAsia" w:ascii="仿宋_GB2312" w:hAnsi="仿宋" w:eastAsia="仿宋_GB2312"/>
          <w:sz w:val="32"/>
          <w:szCs w:val="32"/>
        </w:rPr>
        <w:t>此次竞租采用增价方式进行公开竞价，按照价高者的原则确定竞得人。</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参加本次网上竞租的竞租人，需要在济钢集团有限公司阳光购销平台（直接登录http://bidding.jigang.com.cn或www.jigang.com.cn—济钢集团有限公司阳光购销平台）进行注册（</w:t>
      </w:r>
      <w:r>
        <w:rPr>
          <w:rFonts w:ascii="仿宋_GB2312" w:hAnsi="仿宋" w:eastAsia="仿宋_GB2312"/>
          <w:sz w:val="32"/>
          <w:szCs w:val="32"/>
        </w:rPr>
        <w:t>注册信息需与最终签约信息一致）</w:t>
      </w:r>
      <w:r>
        <w:rPr>
          <w:rFonts w:hint="eastAsia" w:ascii="仿宋_GB2312" w:hAnsi="仿宋" w:eastAsia="仿宋_GB2312"/>
          <w:sz w:val="32"/>
          <w:szCs w:val="32"/>
        </w:rPr>
        <w:t>，并交纳竞租保证金2000元至（</w:t>
      </w:r>
      <w:r>
        <w:rPr>
          <w:rFonts w:ascii="仿宋_GB2312" w:hAnsi="仿宋" w:eastAsia="仿宋_GB2312"/>
          <w:sz w:val="32"/>
          <w:szCs w:val="32"/>
        </w:rPr>
        <w:t>户名：</w:t>
      </w:r>
      <w:r>
        <w:rPr>
          <w:rFonts w:hint="eastAsia" w:ascii="仿宋_GB2312" w:hAnsi="仿宋" w:eastAsia="仿宋_GB2312"/>
          <w:sz w:val="32"/>
          <w:szCs w:val="32"/>
        </w:rPr>
        <w:t>山东济钢城市服务有限公司，开户行：工行济南东郊支行；账号：1602003409006500165；备注“竞租保证金”），足额交纳保证金后具备竞租资格。</w:t>
      </w:r>
      <w:r>
        <w:rPr>
          <w:rFonts w:ascii="仿宋_GB2312" w:hAnsi="仿宋" w:eastAsia="仿宋_GB2312"/>
          <w:sz w:val="32"/>
          <w:szCs w:val="32"/>
        </w:rPr>
        <w:t>转帐完成后</w:t>
      </w:r>
      <w:r>
        <w:rPr>
          <w:rFonts w:hint="eastAsia" w:ascii="仿宋_GB2312" w:hAnsi="仿宋" w:eastAsia="仿宋_GB2312"/>
          <w:sz w:val="32"/>
          <w:szCs w:val="32"/>
        </w:rPr>
        <w:t>请</w:t>
      </w:r>
      <w:r>
        <w:rPr>
          <w:rFonts w:ascii="仿宋_GB2312" w:hAnsi="仿宋" w:eastAsia="仿宋_GB2312"/>
          <w:sz w:val="32"/>
          <w:szCs w:val="32"/>
        </w:rPr>
        <w:t>将转帐</w:t>
      </w:r>
      <w:r>
        <w:rPr>
          <w:rFonts w:hint="eastAsia" w:ascii="仿宋_GB2312" w:hAnsi="仿宋" w:eastAsia="仿宋_GB2312"/>
          <w:sz w:val="32"/>
          <w:szCs w:val="32"/>
        </w:rPr>
        <w:t>凭证转</w:t>
      </w:r>
      <w:r>
        <w:rPr>
          <w:rFonts w:ascii="仿宋_GB2312" w:hAnsi="仿宋" w:eastAsia="仿宋_GB2312"/>
          <w:sz w:val="32"/>
          <w:szCs w:val="32"/>
        </w:rPr>
        <w:t>我单位</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注意：</w:t>
      </w:r>
      <w:r>
        <w:rPr>
          <w:rFonts w:ascii="仿宋_GB2312" w:hAnsi="仿宋" w:eastAsia="仿宋_GB2312"/>
          <w:sz w:val="32"/>
          <w:szCs w:val="32"/>
        </w:rPr>
        <w:t>每竞租一套</w:t>
      </w:r>
      <w:r>
        <w:rPr>
          <w:rFonts w:hint="eastAsia" w:ascii="仿宋_GB2312" w:hAnsi="仿宋" w:eastAsia="仿宋_GB2312"/>
          <w:sz w:val="32"/>
          <w:szCs w:val="32"/>
        </w:rPr>
        <w:t>房产</w:t>
      </w:r>
      <w:r>
        <w:rPr>
          <w:rFonts w:ascii="仿宋_GB2312" w:hAnsi="仿宋" w:eastAsia="仿宋_GB2312"/>
          <w:sz w:val="32"/>
          <w:szCs w:val="32"/>
        </w:rPr>
        <w:t>需交纳一笔竞租保证金）</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网</w:t>
      </w:r>
      <w:r>
        <w:rPr>
          <w:rFonts w:ascii="仿宋_GB2312" w:hAnsi="仿宋" w:eastAsia="仿宋_GB2312"/>
          <w:sz w:val="32"/>
          <w:szCs w:val="32"/>
        </w:rPr>
        <w:t>上</w:t>
      </w:r>
      <w:r>
        <w:rPr>
          <w:rFonts w:hint="eastAsia" w:ascii="仿宋_GB2312" w:hAnsi="仿宋" w:eastAsia="仿宋_GB2312"/>
          <w:sz w:val="32"/>
          <w:szCs w:val="32"/>
        </w:rPr>
        <w:t>公告和报名时间：2024年12月2日,报名交费时间截止至12月6日17:00。</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网</w:t>
      </w:r>
      <w:r>
        <w:rPr>
          <w:rFonts w:ascii="仿宋_GB2312" w:hAnsi="仿宋" w:eastAsia="仿宋_GB2312"/>
          <w:sz w:val="32"/>
          <w:szCs w:val="32"/>
        </w:rPr>
        <w:t>上</w:t>
      </w:r>
      <w:r>
        <w:rPr>
          <w:rFonts w:hint="eastAsia" w:ascii="仿宋_GB2312" w:hAnsi="仿宋" w:eastAsia="仿宋_GB2312"/>
          <w:sz w:val="32"/>
          <w:szCs w:val="32"/>
        </w:rPr>
        <w:t>竞价</w:t>
      </w:r>
      <w:r>
        <w:rPr>
          <w:rFonts w:ascii="仿宋_GB2312" w:hAnsi="仿宋" w:eastAsia="仿宋_GB2312"/>
          <w:sz w:val="32"/>
          <w:szCs w:val="32"/>
        </w:rPr>
        <w:t>时间</w:t>
      </w:r>
      <w:r>
        <w:rPr>
          <w:rFonts w:hint="eastAsia" w:ascii="仿宋_GB2312" w:hAnsi="仿宋" w:eastAsia="仿宋_GB2312"/>
          <w:sz w:val="32"/>
          <w:szCs w:val="32"/>
        </w:rPr>
        <w:t>：202</w:t>
      </w:r>
      <w:r>
        <w:rPr>
          <w:rFonts w:ascii="仿宋_GB2312" w:hAnsi="仿宋" w:eastAsia="仿宋_GB2312"/>
          <w:sz w:val="32"/>
          <w:szCs w:val="32"/>
        </w:rPr>
        <w:t>4</w:t>
      </w:r>
      <w:r>
        <w:rPr>
          <w:rFonts w:hint="eastAsia" w:ascii="仿宋_GB2312" w:hAnsi="仿宋" w:eastAsia="仿宋_GB2312"/>
          <w:sz w:val="32"/>
          <w:szCs w:val="32"/>
        </w:rPr>
        <w:t>年1</w:t>
      </w:r>
      <w:r>
        <w:rPr>
          <w:rFonts w:ascii="仿宋_GB2312" w:hAnsi="仿宋" w:eastAsia="仿宋_GB2312"/>
          <w:sz w:val="32"/>
          <w:szCs w:val="32"/>
        </w:rPr>
        <w:t>2</w:t>
      </w:r>
      <w:r>
        <w:rPr>
          <w:rFonts w:hint="eastAsia" w:ascii="仿宋_GB2312" w:hAnsi="仿宋" w:eastAsia="仿宋_GB2312"/>
          <w:sz w:val="32"/>
          <w:szCs w:val="32"/>
        </w:rPr>
        <w:t>月9日9：00</w:t>
      </w:r>
      <w:r>
        <w:rPr>
          <w:rFonts w:ascii="仿宋_GB2312" w:hAnsi="仿宋" w:eastAsia="仿宋_GB2312"/>
          <w:sz w:val="32"/>
          <w:szCs w:val="32"/>
        </w:rPr>
        <w:t>-11</w:t>
      </w:r>
      <w:r>
        <w:rPr>
          <w:rFonts w:hint="eastAsia" w:ascii="仿宋_GB2312" w:hAnsi="仿宋" w:eastAsia="仿宋_GB2312"/>
          <w:sz w:val="32"/>
          <w:szCs w:val="32"/>
        </w:rPr>
        <w:t>：00。</w:t>
      </w:r>
    </w:p>
    <w:p>
      <w:pPr>
        <w:spacing w:line="58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4306570</wp:posOffset>
            </wp:positionH>
            <wp:positionV relativeFrom="paragraph">
              <wp:posOffset>104140</wp:posOffset>
            </wp:positionV>
            <wp:extent cx="1266825" cy="1266825"/>
            <wp:effectExtent l="0" t="0" r="952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rcRect l="25105" t="27546" r="25873" b="35080"/>
                    <a:stretch>
                      <a:fillRect/>
                    </a:stretch>
                  </pic:blipFill>
                  <pic:spPr>
                    <a:xfrm>
                      <a:off x="0" y="0"/>
                      <a:ext cx="1266825" cy="1266825"/>
                    </a:xfrm>
                    <a:prstGeom prst="rect">
                      <a:avLst/>
                    </a:prstGeom>
                    <a:ln>
                      <a:noFill/>
                    </a:ln>
                  </pic:spPr>
                </pic:pic>
              </a:graphicData>
            </a:graphic>
          </wp:anchor>
        </w:drawing>
      </w: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注册</w:t>
      </w:r>
      <w:r>
        <w:rPr>
          <w:rFonts w:ascii="仿宋_GB2312" w:hAnsi="仿宋_GB2312" w:eastAsia="仿宋_GB2312" w:cs="仿宋_GB2312"/>
          <w:sz w:val="32"/>
          <w:szCs w:val="32"/>
        </w:rPr>
        <w:t>并交纳保证金后，请登录</w:t>
      </w:r>
      <w:r>
        <w:rPr>
          <w:rFonts w:hint="eastAsia" w:ascii="仿宋_GB2312" w:hAnsi="仿宋_GB2312" w:eastAsia="仿宋_GB2312" w:cs="仿宋_GB2312"/>
          <w:sz w:val="32"/>
          <w:szCs w:val="32"/>
        </w:rPr>
        <w:t>阳光</w:t>
      </w:r>
      <w:r>
        <w:rPr>
          <w:rFonts w:ascii="仿宋_GB2312" w:hAnsi="仿宋_GB2312" w:eastAsia="仿宋_GB2312" w:cs="仿宋_GB2312"/>
          <w:sz w:val="32"/>
          <w:szCs w:val="32"/>
        </w:rPr>
        <w:t>购销平台，选择【</w:t>
      </w:r>
      <w:r>
        <w:rPr>
          <w:rFonts w:hint="eastAsia" w:ascii="仿宋_GB2312" w:hAnsi="仿宋_GB2312" w:eastAsia="仿宋_GB2312" w:cs="仿宋_GB2312"/>
          <w:sz w:val="32"/>
          <w:szCs w:val="32"/>
        </w:rPr>
        <w:t>资产处置</w:t>
      </w:r>
      <w:r>
        <w:rPr>
          <w:rFonts w:ascii="仿宋_GB2312" w:hAnsi="仿宋_GB2312" w:eastAsia="仿宋_GB2312" w:cs="仿宋_GB2312"/>
          <w:sz w:val="32"/>
          <w:szCs w:val="32"/>
        </w:rPr>
        <w:t>及竞租】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w:t>
      </w:r>
      <w:r>
        <w:rPr>
          <w:rFonts w:ascii="仿宋_GB2312" w:hAnsi="仿宋_GB2312" w:eastAsia="仿宋_GB2312" w:cs="仿宋_GB2312"/>
          <w:sz w:val="32"/>
          <w:szCs w:val="32"/>
        </w:rPr>
        <w:t>上报名】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》选择拟竞租房产，并点击【</w:t>
      </w:r>
      <w:r>
        <w:rPr>
          <w:rFonts w:hint="eastAsia" w:ascii="仿宋_GB2312" w:hAnsi="仿宋_GB2312" w:eastAsia="仿宋_GB2312" w:cs="仿宋_GB2312"/>
          <w:sz w:val="32"/>
          <w:szCs w:val="32"/>
        </w:rPr>
        <w:t>报名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。报</w:t>
      </w:r>
      <w:r>
        <w:rPr>
          <w:rFonts w:ascii="仿宋_GB2312" w:hAnsi="仿宋_GB2312" w:eastAsia="仿宋_GB2312" w:cs="仿宋_GB2312"/>
          <w:sz w:val="32"/>
          <w:szCs w:val="32"/>
        </w:rPr>
        <w:t>名后请</w:t>
      </w:r>
      <w:r>
        <w:rPr>
          <w:rFonts w:hint="eastAsia" w:ascii="仿宋_GB2312" w:hAnsi="仿宋_GB2312" w:eastAsia="仿宋_GB2312" w:cs="仿宋_GB2312"/>
          <w:sz w:val="32"/>
          <w:szCs w:val="32"/>
        </w:rPr>
        <w:t>扫描</w:t>
      </w:r>
      <w:r>
        <w:rPr>
          <w:rFonts w:ascii="仿宋_GB2312" w:hAnsi="仿宋_GB2312" w:eastAsia="仿宋_GB2312" w:cs="仿宋_GB2312"/>
          <w:sz w:val="32"/>
          <w:szCs w:val="32"/>
        </w:rPr>
        <w:t>二维码上传</w:t>
      </w:r>
      <w:r>
        <w:rPr>
          <w:rFonts w:hint="eastAsia" w:ascii="仿宋_GB2312" w:hAnsi="仿宋_GB2312" w:eastAsia="仿宋_GB2312" w:cs="仿宋_GB2312"/>
          <w:sz w:val="32"/>
          <w:szCs w:val="32"/>
        </w:rPr>
        <w:t>竞租</w:t>
      </w:r>
      <w:r>
        <w:rPr>
          <w:rFonts w:ascii="仿宋_GB2312" w:hAnsi="仿宋_GB2312" w:eastAsia="仿宋_GB2312" w:cs="仿宋_GB2312"/>
          <w:sz w:val="32"/>
          <w:szCs w:val="32"/>
        </w:rPr>
        <w:t>人信息、转帐凭证</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信息，并致电我单位</w:t>
      </w:r>
      <w:r>
        <w:rPr>
          <w:rFonts w:hint="eastAsia" w:ascii="仿宋_GB2312" w:hAnsi="仿宋_GB2312" w:eastAsia="仿宋_GB2312" w:cs="仿宋_GB2312"/>
          <w:sz w:val="32"/>
          <w:szCs w:val="32"/>
        </w:rPr>
        <w:t>联系</w:t>
      </w:r>
      <w:r>
        <w:rPr>
          <w:rFonts w:ascii="仿宋_GB2312" w:hAnsi="仿宋_GB2312" w:eastAsia="仿宋_GB2312" w:cs="仿宋_GB2312"/>
          <w:sz w:val="32"/>
          <w:szCs w:val="32"/>
        </w:rPr>
        <w:t>人核实转帐、报名是否成功。</w:t>
      </w:r>
    </w:p>
    <w:p>
      <w:pPr>
        <w:spacing w:line="580" w:lineRule="exact"/>
        <w:ind w:firstLine="643"/>
        <w:rPr>
          <w:rFonts w:ascii="仿宋_GB2312" w:hAnsi="仿宋"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保证金的</w:t>
      </w:r>
      <w:r>
        <w:rPr>
          <w:rFonts w:hint="eastAsia" w:ascii="仿宋_GB2312" w:hAnsi="仿宋" w:eastAsia="仿宋_GB2312"/>
          <w:sz w:val="32"/>
          <w:szCs w:val="32"/>
        </w:rPr>
        <w:t>退回：未中标者于竞租后七日内由山东济钢城市服务有限公司原账户退回竞租保证金；中标者需在签订租赁合同并</w:t>
      </w:r>
      <w:r>
        <w:rPr>
          <w:rFonts w:ascii="仿宋_GB2312" w:hAnsi="仿宋" w:eastAsia="仿宋_GB2312"/>
          <w:sz w:val="32"/>
          <w:szCs w:val="32"/>
        </w:rPr>
        <w:t>按合同交纳</w:t>
      </w:r>
      <w:r>
        <w:rPr>
          <w:rFonts w:hint="eastAsia" w:ascii="仿宋_GB2312" w:hAnsi="仿宋" w:eastAsia="仿宋_GB2312"/>
          <w:sz w:val="32"/>
          <w:szCs w:val="32"/>
        </w:rPr>
        <w:t>首</w:t>
      </w:r>
      <w:r>
        <w:rPr>
          <w:rFonts w:ascii="仿宋_GB2312" w:hAnsi="仿宋" w:eastAsia="仿宋_GB2312"/>
          <w:sz w:val="32"/>
          <w:szCs w:val="32"/>
        </w:rPr>
        <w:t>年房租</w:t>
      </w:r>
      <w:r>
        <w:rPr>
          <w:rFonts w:hint="eastAsia" w:ascii="仿宋_GB2312" w:hAnsi="仿宋" w:eastAsia="仿宋_GB2312"/>
          <w:sz w:val="32"/>
          <w:szCs w:val="32"/>
        </w:rPr>
        <w:t>、</w:t>
      </w:r>
      <w:r>
        <w:rPr>
          <w:rFonts w:ascii="仿宋_GB2312" w:hAnsi="仿宋" w:eastAsia="仿宋_GB2312"/>
          <w:sz w:val="32"/>
          <w:szCs w:val="32"/>
        </w:rPr>
        <w:t>租赁押金</w:t>
      </w:r>
      <w:r>
        <w:rPr>
          <w:rFonts w:hint="eastAsia" w:ascii="仿宋_GB2312" w:hAnsi="仿宋" w:eastAsia="仿宋_GB2312"/>
          <w:sz w:val="32"/>
          <w:szCs w:val="32"/>
        </w:rPr>
        <w:t>等</w:t>
      </w:r>
      <w:r>
        <w:rPr>
          <w:rFonts w:ascii="仿宋_GB2312" w:hAnsi="仿宋" w:eastAsia="仿宋_GB2312"/>
          <w:sz w:val="32"/>
          <w:szCs w:val="32"/>
        </w:rPr>
        <w:t>费用</w:t>
      </w:r>
      <w:r>
        <w:rPr>
          <w:rFonts w:hint="eastAsia" w:ascii="仿宋_GB2312" w:hAnsi="仿宋" w:eastAsia="仿宋_GB2312"/>
          <w:sz w:val="32"/>
          <w:szCs w:val="32"/>
        </w:rPr>
        <w:t>后，由山东济钢城市服务有限公司将竞租保证金原账户退回。竞得人须在公示期（公示期为标的成交次日起3个工作日）满后7个工作日内到山东济钢城市服务</w:t>
      </w:r>
      <w:r>
        <w:rPr>
          <w:rFonts w:ascii="仿宋_GB2312" w:hAnsi="仿宋" w:eastAsia="仿宋_GB2312"/>
          <w:sz w:val="32"/>
          <w:szCs w:val="32"/>
        </w:rPr>
        <w:t>有限公司</w:t>
      </w:r>
      <w:r>
        <w:rPr>
          <w:rFonts w:hint="eastAsia" w:ascii="仿宋_GB2312" w:hAnsi="仿宋" w:eastAsia="仿宋_GB2312"/>
          <w:sz w:val="32"/>
          <w:szCs w:val="32"/>
        </w:rPr>
        <w:t>办理成交确认手续，逾期视为自动放弃，竞租保证金不予退回。</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五、竞价规则</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hAnsi="仿宋" w:eastAsia="仿宋_GB2312"/>
          <w:sz w:val="32"/>
          <w:szCs w:val="32"/>
        </w:rPr>
        <w:t>本次竞价出租，竞租人初始报价不得低于竞租底价，否则视为无效报价。</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.竞租开始时，登录阳光购销平台，选择【</w:t>
      </w:r>
      <w:r>
        <w:rPr>
          <w:rFonts w:hint="eastAsia" w:ascii="仿宋_GB2312" w:hAnsi="仿宋" w:eastAsia="仿宋_GB2312"/>
          <w:sz w:val="32"/>
          <w:szCs w:val="32"/>
        </w:rPr>
        <w:t>处置</w:t>
      </w:r>
      <w:r>
        <w:rPr>
          <w:rFonts w:ascii="仿宋_GB2312" w:hAnsi="仿宋" w:eastAsia="仿宋_GB2312"/>
          <w:sz w:val="32"/>
          <w:szCs w:val="32"/>
        </w:rPr>
        <w:t>及</w:t>
      </w:r>
      <w:r>
        <w:rPr>
          <w:rFonts w:hint="eastAsia" w:ascii="仿宋_GB2312" w:hAnsi="仿宋" w:eastAsia="仿宋_GB2312"/>
          <w:sz w:val="32"/>
          <w:szCs w:val="32"/>
        </w:rPr>
        <w:t>竞租</w:t>
      </w:r>
      <w:r>
        <w:rPr>
          <w:rFonts w:ascii="仿宋_GB2312" w:hAnsi="仿宋" w:eastAsia="仿宋_GB2312"/>
          <w:sz w:val="32"/>
          <w:szCs w:val="32"/>
        </w:rPr>
        <w:t>竞价】</w:t>
      </w:r>
      <w:r>
        <w:rPr>
          <w:rFonts w:hint="eastAsia" w:ascii="仿宋_GB2312" w:hAnsi="仿宋" w:eastAsia="仿宋_GB2312"/>
          <w:sz w:val="32"/>
          <w:szCs w:val="32"/>
        </w:rPr>
        <w:t>-</w:t>
      </w:r>
      <w:r>
        <w:rPr>
          <w:rFonts w:ascii="仿宋_GB2312" w:hAnsi="仿宋" w:eastAsia="仿宋_GB2312"/>
          <w:sz w:val="32"/>
          <w:szCs w:val="32"/>
        </w:rPr>
        <w:t>》选择拟竞租房号-》</w:t>
      </w:r>
      <w:r>
        <w:rPr>
          <w:rFonts w:hint="eastAsia" w:ascii="仿宋_GB2312" w:hAnsi="仿宋" w:eastAsia="仿宋_GB2312"/>
          <w:sz w:val="32"/>
          <w:szCs w:val="32"/>
        </w:rPr>
        <w:t>【</w:t>
      </w:r>
      <w:r>
        <w:rPr>
          <w:rFonts w:ascii="仿宋_GB2312" w:hAnsi="仿宋" w:eastAsia="仿宋_GB2312"/>
          <w:sz w:val="32"/>
          <w:szCs w:val="32"/>
        </w:rPr>
        <w:t>网上竞价】，填写拟报价单价，点击【</w:t>
      </w:r>
      <w:r>
        <w:rPr>
          <w:rFonts w:hint="eastAsia" w:ascii="仿宋_GB2312" w:hAnsi="仿宋" w:eastAsia="仿宋_GB2312"/>
          <w:sz w:val="32"/>
          <w:szCs w:val="32"/>
        </w:rPr>
        <w:t>保存</w:t>
      </w:r>
      <w:r>
        <w:rPr>
          <w:rFonts w:ascii="仿宋_GB2312" w:hAnsi="仿宋" w:eastAsia="仿宋_GB2312"/>
          <w:sz w:val="32"/>
          <w:szCs w:val="32"/>
        </w:rPr>
        <w:t>】</w:t>
      </w:r>
      <w:r>
        <w:rPr>
          <w:rFonts w:hint="eastAsia" w:ascii="仿宋_GB2312" w:hAnsi="仿宋" w:eastAsia="仿宋_GB2312"/>
          <w:sz w:val="32"/>
          <w:szCs w:val="32"/>
        </w:rPr>
        <w:t>，</w:t>
      </w:r>
      <w:r>
        <w:rPr>
          <w:rFonts w:ascii="仿宋_GB2312" w:hAnsi="仿宋" w:eastAsia="仿宋_GB2312"/>
          <w:sz w:val="32"/>
          <w:szCs w:val="32"/>
        </w:rPr>
        <w:t>确认提交价格。</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在公告约定的竞租报价时间内，竞租人可以多次报价，以竞租底价为基础，每次加价不低于1000元，以1000元的整数倍递加。最后截止时间的最高报价且报价时间早为竞得者。</w:t>
      </w:r>
    </w:p>
    <w:p>
      <w:pPr>
        <w:spacing w:line="580" w:lineRule="exact"/>
        <w:ind w:firstLine="645"/>
        <w:rPr>
          <w:rFonts w:ascii="黑体" w:hAnsi="黑体" w:eastAsia="黑体"/>
          <w:sz w:val="32"/>
          <w:szCs w:val="32"/>
        </w:rPr>
      </w:pPr>
      <w:r>
        <w:rPr>
          <w:rFonts w:hint="eastAsia" w:ascii="黑体" w:hAnsi="黑体" w:eastAsia="黑体"/>
          <w:sz w:val="32"/>
          <w:szCs w:val="32"/>
        </w:rPr>
        <w:t>六、其他约定事项</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合同签约主体为山东济钢城市服务</w:t>
      </w:r>
      <w:r>
        <w:rPr>
          <w:rFonts w:ascii="仿宋_GB2312" w:hAnsi="仿宋" w:eastAsia="仿宋_GB2312"/>
          <w:sz w:val="32"/>
          <w:szCs w:val="32"/>
        </w:rPr>
        <w:t>有限公司</w:t>
      </w:r>
      <w:r>
        <w:rPr>
          <w:rFonts w:hint="eastAsia" w:ascii="仿宋_GB2312" w:hAnsi="仿宋" w:eastAsia="仿宋_GB2312"/>
          <w:sz w:val="32"/>
          <w:szCs w:val="32"/>
        </w:rPr>
        <w:t>。</w:t>
      </w:r>
    </w:p>
    <w:p>
      <w:pPr>
        <w:spacing w:line="580" w:lineRule="exact"/>
        <w:ind w:firstLine="645"/>
        <w:rPr>
          <w:rFonts w:ascii="黑体" w:hAnsi="黑体" w:eastAsia="黑体"/>
          <w:sz w:val="32"/>
          <w:szCs w:val="32"/>
        </w:rPr>
      </w:pPr>
      <w:r>
        <w:rPr>
          <w:rFonts w:hint="eastAsia" w:ascii="黑体" w:hAnsi="黑体" w:eastAsia="黑体"/>
          <w:sz w:val="32"/>
          <w:szCs w:val="32"/>
        </w:rPr>
        <w:t>七、竞租联系人</w:t>
      </w:r>
    </w:p>
    <w:p>
      <w:pPr>
        <w:spacing w:line="580" w:lineRule="exact"/>
        <w:ind w:firstLine="645"/>
        <w:rPr>
          <w:rFonts w:ascii="仿宋_GB2312" w:hAnsi="仿宋" w:eastAsia="仿宋_GB2312"/>
          <w:sz w:val="32"/>
          <w:szCs w:val="32"/>
        </w:rPr>
      </w:pPr>
      <w:r>
        <w:rPr>
          <w:rFonts w:ascii="仿宋_GB2312" w:hAnsi="仿宋" w:eastAsia="仿宋_GB2312"/>
          <w:sz w:val="32"/>
          <w:szCs w:val="32"/>
        </w:rPr>
        <w:t>竞租联系人：</w:t>
      </w:r>
      <w:r>
        <w:rPr>
          <w:rFonts w:hint="eastAsia" w:ascii="仿宋_GB2312" w:hAnsi="仿宋" w:eastAsia="仿宋_GB2312"/>
          <w:sz w:val="32"/>
          <w:szCs w:val="32"/>
        </w:rPr>
        <w:t>薛先生，联系电话：88868211</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业务联系人：宋</w:t>
      </w:r>
      <w:r>
        <w:rPr>
          <w:rFonts w:ascii="仿宋_GB2312" w:hAnsi="仿宋" w:eastAsia="仿宋_GB2312"/>
          <w:sz w:val="32"/>
          <w:szCs w:val="32"/>
        </w:rPr>
        <w:t>先生</w:t>
      </w:r>
      <w:r>
        <w:rPr>
          <w:rFonts w:hint="eastAsia" w:ascii="仿宋_GB2312" w:hAnsi="仿宋" w:eastAsia="仿宋_GB2312"/>
          <w:sz w:val="32"/>
          <w:szCs w:val="32"/>
        </w:rPr>
        <w:t>，联系电话：</w:t>
      </w:r>
      <w:r>
        <w:rPr>
          <w:rFonts w:ascii="仿宋_GB2312" w:hAnsi="仿宋" w:eastAsia="仿宋_GB2312"/>
          <w:sz w:val="32"/>
          <w:szCs w:val="32"/>
        </w:rPr>
        <w:t>88857602</w:t>
      </w:r>
      <w:r>
        <w:rPr>
          <w:rFonts w:hint="eastAsia" w:ascii="仿宋_GB2312" w:hAnsi="仿宋" w:eastAsia="仿宋_GB2312"/>
          <w:sz w:val="32"/>
          <w:szCs w:val="32"/>
        </w:rPr>
        <w:t>。</w:t>
      </w:r>
    </w:p>
    <w:p>
      <w:pPr>
        <w:wordWrap w:val="0"/>
        <w:spacing w:line="580" w:lineRule="exact"/>
        <w:ind w:left="3840" w:right="480" w:hanging="3840" w:hangingChars="1200"/>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p>
    <w:p>
      <w:pPr>
        <w:wordWrap w:val="0"/>
        <w:spacing w:line="580" w:lineRule="exact"/>
        <w:ind w:left="3840" w:right="480" w:hanging="3840" w:hangingChars="1200"/>
        <w:jc w:val="righ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山东济钢城市服务</w:t>
      </w:r>
      <w:r>
        <w:rPr>
          <w:rFonts w:ascii="仿宋_GB2312" w:hAnsi="仿宋" w:eastAsia="仿宋_GB2312"/>
          <w:sz w:val="32"/>
          <w:szCs w:val="32"/>
        </w:rPr>
        <w:t>有限公司</w:t>
      </w:r>
    </w:p>
    <w:p>
      <w:pPr>
        <w:wordWrap w:val="0"/>
        <w:spacing w:line="580" w:lineRule="exact"/>
        <w:ind w:right="480" w:firstLine="4160" w:firstLineChars="1300"/>
        <w:jc w:val="right"/>
      </w:pPr>
      <w:r>
        <w:rPr>
          <w:rFonts w:ascii="仿宋_GB2312" w:hAnsi="仿宋" w:eastAsia="仿宋_GB2312"/>
          <w:sz w:val="32"/>
          <w:szCs w:val="32"/>
        </w:rPr>
        <w:t>2024</w:t>
      </w:r>
      <w:r>
        <w:rPr>
          <w:rFonts w:hint="eastAsia" w:ascii="仿宋_GB2312" w:hAnsi="仿宋" w:eastAsia="仿宋_GB2312"/>
          <w:sz w:val="32"/>
          <w:szCs w:val="32"/>
        </w:rPr>
        <w:t>年1</w:t>
      </w:r>
      <w:r>
        <w:rPr>
          <w:rFonts w:hint="eastAsia" w:ascii="仿宋_GB2312" w:hAnsi="仿宋" w:eastAsia="仿宋_GB2312"/>
          <w:sz w:val="32"/>
          <w:szCs w:val="32"/>
          <w:lang w:val="en-US" w:eastAsia="zh-CN"/>
        </w:rPr>
        <w:t>2</w:t>
      </w:r>
      <w:bookmarkStart w:id="0" w:name="_GoBack"/>
      <w:bookmarkEnd w:id="0"/>
      <w:r>
        <w:rPr>
          <w:rFonts w:hint="eastAsia" w:ascii="仿宋_GB2312" w:hAnsi="仿宋" w:eastAsia="仿宋_GB2312"/>
          <w:sz w:val="32"/>
          <w:szCs w:val="32"/>
        </w:rPr>
        <w:t>月</w:t>
      </w:r>
      <w:r>
        <w:rPr>
          <w:rFonts w:hint="eastAsia" w:ascii="仿宋_GB2312" w:hAnsi="仿宋" w:eastAsia="仿宋_GB2312"/>
          <w:sz w:val="32"/>
          <w:szCs w:val="32"/>
          <w:lang w:val="en-US" w:eastAsia="zh-CN"/>
        </w:rPr>
        <w:t>2</w:t>
      </w:r>
      <w:r>
        <w:rPr>
          <w:rFonts w:hint="eastAsia" w:ascii="仿宋_GB2312" w:hAnsi="仿宋" w:eastAsia="仿宋_GB2312"/>
          <w:sz w:val="32"/>
          <w:szCs w:val="32"/>
        </w:rPr>
        <w:t xml:space="preserve">日    </w:t>
      </w:r>
    </w:p>
    <w:p/>
    <w:p/>
    <w:sectPr>
      <w:footerReference r:id="rId3" w:type="default"/>
      <w:pgSz w:w="11906" w:h="16838"/>
      <w:pgMar w:top="1701"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2997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299720"/>
                      </a:xfrm>
                      <a:prstGeom prst="rect">
                        <a:avLst/>
                      </a:prstGeom>
                      <a:noFill/>
                      <a:ln w="6350">
                        <a:noFill/>
                      </a:ln>
                    </wps:spPr>
                    <wps:txbx>
                      <w:txbxContent>
                        <w:p>
                          <w:pPr>
                            <w:pStyle w:val="3"/>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ascii="黑体" w:hAnsi="黑体" w:eastAsia="黑体" w:cs="黑体"/>
                              <w:sz w:val="21"/>
                              <w:szCs w:val="21"/>
                            </w:rPr>
                            <w:t>4</w:t>
                          </w:r>
                          <w:r>
                            <w:rPr>
                              <w:rFonts w:hint="eastAsia" w:ascii="黑体" w:hAnsi="黑体" w:eastAsia="黑体" w:cs="黑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6pt;width:5.3pt;mso-position-horizontal:center;mso-position-horizontal-relative:margin;mso-wrap-style:none;z-index:251660288;mso-width-relative:page;mso-height-relative:page;" filled="f" stroked="f" coordsize="21600,21600" o:gfxdata="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Rc6IPRAAAAAwEAAA8AAAAAAAAAAQAgAAAAIgAAAGRycy9kb3ducmV2LnhtbFBLAQIUABQAAAAI&#10;AIdO4kA6Mn9dLQIAAFIEAAAOAAAAAAAAAAEAIAAAACABAABkcnMvZTJvRG9jLnhtbFBLBQYAAAAA&#10;BgAGAFkBAAC/BQAAAAA=&#10;">
              <v:fill on="f" focussize="0,0"/>
              <v:stroke on="f" weight="0.5pt"/>
              <v:imagedata o:title=""/>
              <o:lock v:ext="edit" aspectratio="f"/>
              <v:textbox inset="0mm,0mm,0mm,0mm" style="mso-fit-shape-to-text:t;">
                <w:txbxContent>
                  <w:p>
                    <w:pPr>
                      <w:pStyle w:val="3"/>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ascii="黑体" w:hAnsi="黑体" w:eastAsia="黑体" w:cs="黑体"/>
                        <w:sz w:val="21"/>
                        <w:szCs w:val="21"/>
                      </w:rPr>
                      <w:t>4</w:t>
                    </w:r>
                    <w:r>
                      <w:rPr>
                        <w:rFonts w:hint="eastAsia" w:ascii="黑体" w:hAnsi="黑体" w:eastAsia="黑体" w:cs="黑体"/>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D3"/>
    <w:rsid w:val="000C5D0B"/>
    <w:rsid w:val="000D2105"/>
    <w:rsid w:val="00106E1D"/>
    <w:rsid w:val="00140D14"/>
    <w:rsid w:val="0019182B"/>
    <w:rsid w:val="001B2C5E"/>
    <w:rsid w:val="00256659"/>
    <w:rsid w:val="002677D7"/>
    <w:rsid w:val="00270187"/>
    <w:rsid w:val="003058F8"/>
    <w:rsid w:val="00326E63"/>
    <w:rsid w:val="003762D5"/>
    <w:rsid w:val="0038758C"/>
    <w:rsid w:val="003E6FAA"/>
    <w:rsid w:val="00440D2D"/>
    <w:rsid w:val="00463DD4"/>
    <w:rsid w:val="004A64F0"/>
    <w:rsid w:val="004C3690"/>
    <w:rsid w:val="004E5109"/>
    <w:rsid w:val="004F12F0"/>
    <w:rsid w:val="004F1801"/>
    <w:rsid w:val="004F6738"/>
    <w:rsid w:val="0052788B"/>
    <w:rsid w:val="0053039A"/>
    <w:rsid w:val="005377E1"/>
    <w:rsid w:val="00543483"/>
    <w:rsid w:val="005B1473"/>
    <w:rsid w:val="005D5CBA"/>
    <w:rsid w:val="00614B90"/>
    <w:rsid w:val="00634675"/>
    <w:rsid w:val="0064214A"/>
    <w:rsid w:val="006513D3"/>
    <w:rsid w:val="00652B15"/>
    <w:rsid w:val="00685848"/>
    <w:rsid w:val="007A4E3A"/>
    <w:rsid w:val="0080027C"/>
    <w:rsid w:val="00814215"/>
    <w:rsid w:val="00853F01"/>
    <w:rsid w:val="008C587A"/>
    <w:rsid w:val="00911FDC"/>
    <w:rsid w:val="009A4F86"/>
    <w:rsid w:val="009D09C7"/>
    <w:rsid w:val="00A232E3"/>
    <w:rsid w:val="00A31439"/>
    <w:rsid w:val="00A666BC"/>
    <w:rsid w:val="00A72F14"/>
    <w:rsid w:val="00B07E7B"/>
    <w:rsid w:val="00B36AC3"/>
    <w:rsid w:val="00B8590F"/>
    <w:rsid w:val="00C23CD9"/>
    <w:rsid w:val="00C52BC3"/>
    <w:rsid w:val="00CB14EE"/>
    <w:rsid w:val="00CB335A"/>
    <w:rsid w:val="00CC37B2"/>
    <w:rsid w:val="00D02FCF"/>
    <w:rsid w:val="00DC7B0A"/>
    <w:rsid w:val="00E176ED"/>
    <w:rsid w:val="00E932AB"/>
    <w:rsid w:val="00EB6B3E"/>
    <w:rsid w:val="00EF3CAE"/>
    <w:rsid w:val="00F045A6"/>
    <w:rsid w:val="00F46396"/>
    <w:rsid w:val="00F73399"/>
    <w:rsid w:val="00F86A8C"/>
    <w:rsid w:val="00FE3165"/>
    <w:rsid w:val="06A8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semiHidden/>
    <w:unhideWhenUsed/>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2"/>
    <w:basedOn w:val="2"/>
    <w:link w:val="10"/>
    <w:qFormat/>
    <w:uiPriority w:val="0"/>
    <w:pPr>
      <w:spacing w:after="0" w:line="480" w:lineRule="auto"/>
      <w:ind w:left="0" w:leftChars="0" w:firstLine="420" w:firstLineChars="200"/>
    </w:pPr>
    <w:rPr>
      <w:rFonts w:ascii="仿宋_GB2312" w:eastAsia="仿宋_GB2312"/>
      <w:sz w:val="28"/>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首行缩进 2 Char"/>
    <w:link w:val="5"/>
    <w:qFormat/>
    <w:uiPriority w:val="0"/>
    <w:rPr>
      <w:rFonts w:ascii="仿宋_GB2312" w:hAnsi="Calibri" w:eastAsia="仿宋_GB2312" w:cs="Times New Roman"/>
      <w:sz w:val="28"/>
    </w:rPr>
  </w:style>
  <w:style w:type="character" w:customStyle="1" w:styleId="11">
    <w:name w:val="正文文本缩进 Char"/>
    <w:basedOn w:val="7"/>
    <w:link w:val="2"/>
    <w:semiHidden/>
    <w:uiPriority w:val="99"/>
    <w:rPr>
      <w:rFonts w:ascii="Calibri" w:hAnsi="Calibri" w:eastAsia="宋体" w:cs="Times New Roman"/>
    </w:rPr>
  </w:style>
  <w:style w:type="character" w:customStyle="1" w:styleId="12">
    <w:name w:val="正文首行缩进 2 Char1"/>
    <w:basedOn w:val="11"/>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241</Words>
  <Characters>1375</Characters>
  <Lines>11</Lines>
  <Paragraphs>3</Paragraphs>
  <TotalTime>123</TotalTime>
  <ScaleCrop>false</ScaleCrop>
  <LinksUpToDate>false</LinksUpToDate>
  <CharactersWithSpaces>1613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2024-01-07T08:38:00Z</dcterms:created>
  <dc:creator>Songxuh</dc:creator>
  <cp:lastModifiedBy>薛明</cp:lastModifiedBy>
  <dcterms:modified xsi:type="dcterms:W3CDTF">2024-12-02T00:19:39Z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E605B0C5C5C74911A161576B98CE9B24</vt:lpwstr>
  </property>
</Properties>
</file>